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A3" w:rsidRDefault="001D5CF1" w:rsidP="001D5CF1">
      <w:pPr>
        <w:jc w:val="center"/>
        <w:rPr>
          <w:rFonts w:ascii="微軟正黑體" w:eastAsia="微軟正黑體" w:hAnsi="微軟正黑體"/>
          <w:sz w:val="40"/>
          <w:szCs w:val="40"/>
        </w:rPr>
      </w:pPr>
      <w:r>
        <w:rPr>
          <w:rFonts w:ascii="微軟正黑體" w:eastAsia="微軟正黑體" w:hAnsi="微軟正黑體" w:hint="eastAsia"/>
          <w:sz w:val="40"/>
          <w:szCs w:val="40"/>
        </w:rPr>
        <w:t>三芳化學工業股份有限公司</w:t>
      </w:r>
    </w:p>
    <w:p w:rsidR="001D5CF1" w:rsidRDefault="00143E7C" w:rsidP="001D5CF1">
      <w:pPr>
        <w:jc w:val="center"/>
        <w:rPr>
          <w:rFonts w:ascii="微軟正黑體" w:eastAsia="微軟正黑體" w:hAnsi="微軟正黑體"/>
          <w:sz w:val="40"/>
          <w:szCs w:val="40"/>
        </w:rPr>
      </w:pPr>
      <w:bookmarkStart w:id="0" w:name="_GoBack"/>
      <w:r>
        <w:rPr>
          <w:rFonts w:ascii="微軟正黑體" w:eastAsia="微軟正黑體" w:hAnsi="微軟正黑體" w:hint="eastAsia"/>
          <w:sz w:val="40"/>
          <w:szCs w:val="40"/>
        </w:rPr>
        <w:t>111</w:t>
      </w:r>
      <w:r w:rsidR="001D5CF1">
        <w:rPr>
          <w:rFonts w:ascii="微軟正黑體" w:eastAsia="微軟正黑體" w:hAnsi="微軟正黑體" w:hint="eastAsia"/>
          <w:sz w:val="40"/>
          <w:szCs w:val="40"/>
        </w:rPr>
        <w:t>年度防範內線交易教育訓練</w:t>
      </w:r>
    </w:p>
    <w:tbl>
      <w:tblPr>
        <w:tblStyle w:val="a3"/>
        <w:tblW w:w="14590" w:type="dxa"/>
        <w:jc w:val="center"/>
        <w:tblLook w:val="04A0" w:firstRow="1" w:lastRow="0" w:firstColumn="1" w:lastColumn="0" w:noHBand="0" w:noVBand="1"/>
      </w:tblPr>
      <w:tblGrid>
        <w:gridCol w:w="4390"/>
        <w:gridCol w:w="2414"/>
        <w:gridCol w:w="1987"/>
        <w:gridCol w:w="2555"/>
        <w:gridCol w:w="1635"/>
        <w:gridCol w:w="1609"/>
      </w:tblGrid>
      <w:tr w:rsidR="001D5CF1" w:rsidTr="009A5386">
        <w:trPr>
          <w:trHeight w:val="680"/>
          <w:jc w:val="center"/>
        </w:trPr>
        <w:tc>
          <w:tcPr>
            <w:tcW w:w="4390" w:type="dxa"/>
          </w:tcPr>
          <w:bookmarkEnd w:id="0"/>
          <w:p w:rsidR="001D5CF1" w:rsidRPr="00DE3293" w:rsidRDefault="00DE3293" w:rsidP="001D5CF1">
            <w:pPr>
              <w:jc w:val="center"/>
              <w:rPr>
                <w:rFonts w:ascii="微軟正黑體" w:eastAsia="微軟正黑體" w:hAnsi="微軟正黑體"/>
                <w:sz w:val="26"/>
                <w:szCs w:val="26"/>
              </w:rPr>
            </w:pPr>
            <w:r>
              <w:rPr>
                <w:rFonts w:ascii="微軟正黑體" w:eastAsia="微軟正黑體" w:hAnsi="微軟正黑體" w:hint="eastAsia"/>
                <w:sz w:val="26"/>
                <w:szCs w:val="26"/>
              </w:rPr>
              <w:t>受訓課程名稱</w:t>
            </w:r>
          </w:p>
        </w:tc>
        <w:tc>
          <w:tcPr>
            <w:tcW w:w="2414" w:type="dxa"/>
          </w:tcPr>
          <w:p w:rsidR="001D5CF1" w:rsidRPr="00DE3293" w:rsidRDefault="00DE3293" w:rsidP="001D5CF1">
            <w:pPr>
              <w:jc w:val="center"/>
              <w:rPr>
                <w:rFonts w:ascii="微軟正黑體" w:eastAsia="微軟正黑體" w:hAnsi="微軟正黑體"/>
                <w:sz w:val="26"/>
                <w:szCs w:val="26"/>
              </w:rPr>
            </w:pPr>
            <w:r>
              <w:rPr>
                <w:rFonts w:ascii="微軟正黑體" w:eastAsia="微軟正黑體" w:hAnsi="微軟正黑體" w:hint="eastAsia"/>
                <w:sz w:val="26"/>
                <w:szCs w:val="26"/>
              </w:rPr>
              <w:t>受訓單位</w:t>
            </w:r>
          </w:p>
        </w:tc>
        <w:tc>
          <w:tcPr>
            <w:tcW w:w="1987" w:type="dxa"/>
          </w:tcPr>
          <w:p w:rsidR="001D5CF1" w:rsidRPr="00DE3293" w:rsidRDefault="00DE3293" w:rsidP="001D5CF1">
            <w:pPr>
              <w:jc w:val="center"/>
              <w:rPr>
                <w:rFonts w:ascii="微軟正黑體" w:eastAsia="微軟正黑體" w:hAnsi="微軟正黑體"/>
                <w:sz w:val="26"/>
                <w:szCs w:val="26"/>
              </w:rPr>
            </w:pPr>
            <w:r>
              <w:rPr>
                <w:rFonts w:ascii="微軟正黑體" w:eastAsia="微軟正黑體" w:hAnsi="微軟正黑體" w:hint="eastAsia"/>
                <w:sz w:val="26"/>
                <w:szCs w:val="26"/>
              </w:rPr>
              <w:t>受訓人員</w:t>
            </w:r>
          </w:p>
        </w:tc>
        <w:tc>
          <w:tcPr>
            <w:tcW w:w="2555" w:type="dxa"/>
          </w:tcPr>
          <w:p w:rsidR="001D5CF1" w:rsidRPr="00DE3293" w:rsidRDefault="00DE3293" w:rsidP="001D5CF1">
            <w:pPr>
              <w:jc w:val="center"/>
              <w:rPr>
                <w:rFonts w:ascii="微軟正黑體" w:eastAsia="微軟正黑體" w:hAnsi="微軟正黑體"/>
                <w:sz w:val="26"/>
                <w:szCs w:val="26"/>
              </w:rPr>
            </w:pPr>
            <w:r>
              <w:rPr>
                <w:rFonts w:ascii="微軟正黑體" w:eastAsia="微軟正黑體" w:hAnsi="微軟正黑體" w:hint="eastAsia"/>
                <w:sz w:val="26"/>
                <w:szCs w:val="26"/>
              </w:rPr>
              <w:t>受訓日期</w:t>
            </w:r>
          </w:p>
        </w:tc>
        <w:tc>
          <w:tcPr>
            <w:tcW w:w="1635" w:type="dxa"/>
          </w:tcPr>
          <w:p w:rsidR="001D5CF1" w:rsidRPr="00DE3293" w:rsidRDefault="00DE3293" w:rsidP="001D5CF1">
            <w:pPr>
              <w:jc w:val="center"/>
              <w:rPr>
                <w:rFonts w:ascii="微軟正黑體" w:eastAsia="微軟正黑體" w:hAnsi="微軟正黑體"/>
                <w:sz w:val="26"/>
                <w:szCs w:val="26"/>
              </w:rPr>
            </w:pPr>
            <w:r>
              <w:rPr>
                <w:rFonts w:ascii="微軟正黑體" w:eastAsia="微軟正黑體" w:hAnsi="微軟正黑體" w:hint="eastAsia"/>
                <w:sz w:val="26"/>
                <w:szCs w:val="26"/>
              </w:rPr>
              <w:t>時數</w:t>
            </w:r>
          </w:p>
        </w:tc>
        <w:tc>
          <w:tcPr>
            <w:tcW w:w="1609" w:type="dxa"/>
          </w:tcPr>
          <w:p w:rsidR="001D5CF1" w:rsidRPr="00DE3293" w:rsidRDefault="00DE3293" w:rsidP="001D5CF1">
            <w:pPr>
              <w:jc w:val="center"/>
              <w:rPr>
                <w:rFonts w:ascii="微軟正黑體" w:eastAsia="微軟正黑體" w:hAnsi="微軟正黑體"/>
                <w:sz w:val="26"/>
                <w:szCs w:val="26"/>
              </w:rPr>
            </w:pPr>
            <w:r>
              <w:rPr>
                <w:rFonts w:ascii="微軟正黑體" w:eastAsia="微軟正黑體" w:hAnsi="微軟正黑體" w:hint="eastAsia"/>
                <w:sz w:val="26"/>
                <w:szCs w:val="26"/>
              </w:rPr>
              <w:t>人數</w:t>
            </w:r>
          </w:p>
        </w:tc>
      </w:tr>
      <w:tr w:rsidR="00D1266B" w:rsidTr="009A5386">
        <w:trPr>
          <w:trHeight w:val="848"/>
          <w:jc w:val="center"/>
        </w:trPr>
        <w:tc>
          <w:tcPr>
            <w:tcW w:w="4390" w:type="dxa"/>
            <w:vAlign w:val="center"/>
          </w:tcPr>
          <w:p w:rsidR="00D1266B" w:rsidRPr="00143E7C" w:rsidRDefault="00D1266B" w:rsidP="00D1266B">
            <w:pPr>
              <w:spacing w:line="400" w:lineRule="exact"/>
              <w:jc w:val="center"/>
              <w:rPr>
                <w:rFonts w:ascii="微軟正黑體" w:eastAsia="微軟正黑體" w:hAnsi="微軟正黑體"/>
                <w:sz w:val="26"/>
                <w:szCs w:val="26"/>
              </w:rPr>
            </w:pPr>
            <w:r>
              <w:rPr>
                <w:rFonts w:ascii="微軟正黑體" w:eastAsia="微軟正黑體" w:hAnsi="微軟正黑體" w:hint="eastAsia"/>
              </w:rPr>
              <w:t>企業誠信經營守則與主管道德行為準則宣導及檢舉非法及不道德案件處理</w:t>
            </w:r>
          </w:p>
        </w:tc>
        <w:tc>
          <w:tcPr>
            <w:tcW w:w="2414" w:type="dxa"/>
            <w:vAlign w:val="center"/>
          </w:tcPr>
          <w:p w:rsidR="00D1266B" w:rsidRPr="00DE3293"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本公司</w:t>
            </w:r>
          </w:p>
        </w:tc>
        <w:tc>
          <w:tcPr>
            <w:tcW w:w="1987" w:type="dxa"/>
            <w:vAlign w:val="center"/>
          </w:tcPr>
          <w:p w:rsidR="00D1266B" w:rsidRPr="00DE3293"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二級主管</w:t>
            </w:r>
          </w:p>
        </w:tc>
        <w:tc>
          <w:tcPr>
            <w:tcW w:w="2555" w:type="dxa"/>
            <w:vAlign w:val="center"/>
          </w:tcPr>
          <w:p w:rsidR="00D1266B" w:rsidRPr="00DE3293"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111/01/12</w:t>
            </w:r>
          </w:p>
        </w:tc>
        <w:tc>
          <w:tcPr>
            <w:tcW w:w="1635" w:type="dxa"/>
            <w:vAlign w:val="center"/>
          </w:tcPr>
          <w:p w:rsidR="00D1266B" w:rsidRPr="00DE3293"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1.5</w:t>
            </w:r>
          </w:p>
        </w:tc>
        <w:tc>
          <w:tcPr>
            <w:tcW w:w="1609" w:type="dxa"/>
            <w:vAlign w:val="center"/>
          </w:tcPr>
          <w:p w:rsidR="00D1266B" w:rsidRPr="00DE3293"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49</w:t>
            </w:r>
          </w:p>
        </w:tc>
      </w:tr>
      <w:tr w:rsidR="00D1266B" w:rsidTr="009A5386">
        <w:trPr>
          <w:trHeight w:val="848"/>
          <w:jc w:val="center"/>
        </w:trPr>
        <w:tc>
          <w:tcPr>
            <w:tcW w:w="4390" w:type="dxa"/>
            <w:vAlign w:val="center"/>
          </w:tcPr>
          <w:p w:rsidR="00D1266B" w:rsidRDefault="00D1266B" w:rsidP="00D1266B">
            <w:pPr>
              <w:spacing w:line="500" w:lineRule="exact"/>
              <w:jc w:val="center"/>
              <w:rPr>
                <w:rFonts w:ascii="微軟正黑體" w:eastAsia="微軟正黑體" w:hAnsi="微軟正黑體"/>
              </w:rPr>
            </w:pPr>
            <w:r>
              <w:rPr>
                <w:rFonts w:ascii="微軟正黑體" w:eastAsia="微軟正黑體" w:hAnsi="微軟正黑體"/>
              </w:rPr>
              <w:t>111</w:t>
            </w:r>
            <w:r>
              <w:rPr>
                <w:rFonts w:ascii="微軟正黑體" w:eastAsia="微軟正黑體" w:hAnsi="微軟正黑體" w:hint="eastAsia"/>
              </w:rPr>
              <w:t xml:space="preserve">年防範內線交易宣導會    </w:t>
            </w:r>
          </w:p>
        </w:tc>
        <w:tc>
          <w:tcPr>
            <w:tcW w:w="2414" w:type="dxa"/>
            <w:vAlign w:val="center"/>
          </w:tcPr>
          <w:p w:rsidR="00D1266B" w:rsidRPr="00143E7C" w:rsidRDefault="00D1266B" w:rsidP="00D1266B">
            <w:pPr>
              <w:spacing w:line="300" w:lineRule="exact"/>
              <w:jc w:val="center"/>
              <w:rPr>
                <w:rFonts w:ascii="微軟正黑體" w:eastAsia="微軟正黑體" w:hAnsi="微軟正黑體"/>
                <w:sz w:val="26"/>
                <w:szCs w:val="26"/>
              </w:rPr>
            </w:pPr>
            <w:r w:rsidRPr="00143E7C">
              <w:rPr>
                <w:rFonts w:ascii="微軟正黑體" w:eastAsia="微軟正黑體" w:hAnsi="微軟正黑體" w:hint="eastAsia"/>
                <w:color w:val="000000"/>
                <w:sz w:val="26"/>
                <w:szCs w:val="26"/>
              </w:rPr>
              <w:t>財團法人中華民國證券暨期貨市場發展基金會</w:t>
            </w:r>
          </w:p>
        </w:tc>
        <w:tc>
          <w:tcPr>
            <w:tcW w:w="1987"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財會人員</w:t>
            </w:r>
          </w:p>
        </w:tc>
        <w:tc>
          <w:tcPr>
            <w:tcW w:w="2555"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1</w:t>
            </w:r>
            <w:r>
              <w:rPr>
                <w:rFonts w:ascii="微軟正黑體" w:eastAsia="微軟正黑體" w:hAnsi="微軟正黑體"/>
                <w:sz w:val="26"/>
                <w:szCs w:val="26"/>
              </w:rPr>
              <w:t>11/05/20</w:t>
            </w:r>
          </w:p>
        </w:tc>
        <w:tc>
          <w:tcPr>
            <w:tcW w:w="1635"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3</w:t>
            </w:r>
          </w:p>
        </w:tc>
        <w:tc>
          <w:tcPr>
            <w:tcW w:w="1609"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2</w:t>
            </w:r>
          </w:p>
        </w:tc>
      </w:tr>
      <w:tr w:rsidR="00D1266B" w:rsidTr="00D1266B">
        <w:trPr>
          <w:trHeight w:val="729"/>
          <w:jc w:val="center"/>
        </w:trPr>
        <w:tc>
          <w:tcPr>
            <w:tcW w:w="4390" w:type="dxa"/>
            <w:vAlign w:val="center"/>
          </w:tcPr>
          <w:p w:rsidR="00D1266B" w:rsidRPr="009A5386" w:rsidRDefault="00D1266B" w:rsidP="00D1266B">
            <w:pPr>
              <w:spacing w:line="500" w:lineRule="exact"/>
              <w:jc w:val="center"/>
              <w:rPr>
                <w:rFonts w:ascii="微軟正黑體" w:eastAsia="微軟正黑體" w:hAnsi="微軟正黑體" w:hint="eastAsia"/>
              </w:rPr>
            </w:pPr>
            <w:r w:rsidRPr="009A5386">
              <w:rPr>
                <w:rFonts w:ascii="微軟正黑體" w:eastAsia="微軟正黑體" w:hAnsi="微軟正黑體" w:hint="eastAsia"/>
                <w:color w:val="000000"/>
                <w:sz w:val="26"/>
                <w:szCs w:val="26"/>
              </w:rPr>
              <w:t>反貪腐暨賄賂風險管理機制實務分享</w:t>
            </w:r>
          </w:p>
        </w:tc>
        <w:tc>
          <w:tcPr>
            <w:tcW w:w="2414" w:type="dxa"/>
            <w:vAlign w:val="center"/>
          </w:tcPr>
          <w:p w:rsidR="00D1266B" w:rsidRPr="009A5386" w:rsidRDefault="00D1266B" w:rsidP="00D1266B">
            <w:pPr>
              <w:spacing w:line="300" w:lineRule="exact"/>
              <w:jc w:val="center"/>
              <w:rPr>
                <w:rFonts w:ascii="微軟正黑體" w:eastAsia="微軟正黑體" w:hAnsi="微軟正黑體" w:hint="eastAsia"/>
                <w:color w:val="000000"/>
                <w:sz w:val="26"/>
                <w:szCs w:val="26"/>
              </w:rPr>
            </w:pPr>
            <w:r w:rsidRPr="009A5386">
              <w:rPr>
                <w:rFonts w:ascii="微軟正黑體" w:eastAsia="微軟正黑體" w:hAnsi="微軟正黑體" w:hint="eastAsia"/>
                <w:color w:val="000000"/>
                <w:sz w:val="26"/>
                <w:szCs w:val="26"/>
              </w:rPr>
              <w:t>社團法人中華民國治理協會</w:t>
            </w:r>
          </w:p>
        </w:tc>
        <w:tc>
          <w:tcPr>
            <w:tcW w:w="1987" w:type="dxa"/>
            <w:vAlign w:val="center"/>
          </w:tcPr>
          <w:p w:rsidR="00D1266B" w:rsidRPr="009A5386" w:rsidRDefault="00D1266B" w:rsidP="00D1266B">
            <w:pPr>
              <w:spacing w:line="300" w:lineRule="exact"/>
              <w:jc w:val="center"/>
              <w:rPr>
                <w:rFonts w:ascii="微軟正黑體" w:eastAsia="微軟正黑體" w:hAnsi="微軟正黑體" w:hint="eastAsia"/>
                <w:sz w:val="26"/>
                <w:szCs w:val="26"/>
              </w:rPr>
            </w:pPr>
            <w:r w:rsidRPr="009A5386">
              <w:rPr>
                <w:rFonts w:ascii="微軟正黑體" w:eastAsia="微軟正黑體" w:hAnsi="微軟正黑體" w:hint="eastAsia"/>
                <w:sz w:val="26"/>
                <w:szCs w:val="26"/>
              </w:rPr>
              <w:t>董事</w:t>
            </w:r>
          </w:p>
        </w:tc>
        <w:tc>
          <w:tcPr>
            <w:tcW w:w="2555" w:type="dxa"/>
            <w:vAlign w:val="center"/>
          </w:tcPr>
          <w:p w:rsidR="00D1266B" w:rsidRPr="009A5386" w:rsidRDefault="00D1266B" w:rsidP="00D1266B">
            <w:pPr>
              <w:jc w:val="center"/>
              <w:rPr>
                <w:rFonts w:ascii="微軟正黑體" w:eastAsia="微軟正黑體" w:hAnsi="微軟正黑體" w:cs="Times New Roman"/>
                <w:color w:val="000000"/>
                <w:sz w:val="26"/>
                <w:szCs w:val="26"/>
              </w:rPr>
            </w:pPr>
            <w:r w:rsidRPr="009A5386">
              <w:rPr>
                <w:rFonts w:ascii="微軟正黑體" w:eastAsia="微軟正黑體" w:hAnsi="微軟正黑體" w:cs="Times New Roman"/>
                <w:color w:val="000000"/>
                <w:sz w:val="26"/>
                <w:szCs w:val="26"/>
              </w:rPr>
              <w:t>111/08/12</w:t>
            </w:r>
          </w:p>
        </w:tc>
        <w:tc>
          <w:tcPr>
            <w:tcW w:w="1635" w:type="dxa"/>
            <w:vAlign w:val="center"/>
          </w:tcPr>
          <w:p w:rsidR="00D1266B" w:rsidRDefault="00D1266B" w:rsidP="00D1266B">
            <w:pPr>
              <w:spacing w:line="300" w:lineRule="exact"/>
              <w:jc w:val="center"/>
              <w:rPr>
                <w:rFonts w:ascii="微軟正黑體" w:eastAsia="微軟正黑體" w:hAnsi="微軟正黑體" w:hint="eastAsia"/>
                <w:sz w:val="26"/>
                <w:szCs w:val="26"/>
              </w:rPr>
            </w:pPr>
            <w:r>
              <w:rPr>
                <w:rFonts w:ascii="微軟正黑體" w:eastAsia="微軟正黑體" w:hAnsi="微軟正黑體" w:hint="eastAsia"/>
                <w:sz w:val="26"/>
                <w:szCs w:val="26"/>
              </w:rPr>
              <w:t>3</w:t>
            </w:r>
          </w:p>
        </w:tc>
        <w:tc>
          <w:tcPr>
            <w:tcW w:w="1609" w:type="dxa"/>
            <w:vAlign w:val="center"/>
          </w:tcPr>
          <w:p w:rsidR="00D1266B" w:rsidRDefault="00D1266B" w:rsidP="00D1266B">
            <w:pPr>
              <w:spacing w:line="300" w:lineRule="exact"/>
              <w:jc w:val="center"/>
              <w:rPr>
                <w:rFonts w:ascii="微軟正黑體" w:eastAsia="微軟正黑體" w:hAnsi="微軟正黑體" w:hint="eastAsia"/>
                <w:sz w:val="26"/>
                <w:szCs w:val="26"/>
              </w:rPr>
            </w:pPr>
            <w:r>
              <w:rPr>
                <w:rFonts w:ascii="微軟正黑體" w:eastAsia="微軟正黑體" w:hAnsi="微軟正黑體" w:hint="eastAsia"/>
                <w:sz w:val="26"/>
                <w:szCs w:val="26"/>
              </w:rPr>
              <w:t>1</w:t>
            </w:r>
          </w:p>
        </w:tc>
      </w:tr>
      <w:tr w:rsidR="00D1266B" w:rsidTr="00D1266B">
        <w:trPr>
          <w:trHeight w:val="729"/>
          <w:jc w:val="center"/>
        </w:trPr>
        <w:tc>
          <w:tcPr>
            <w:tcW w:w="4390" w:type="dxa"/>
            <w:vAlign w:val="center"/>
          </w:tcPr>
          <w:p w:rsidR="00D1266B" w:rsidRPr="00AB26E6" w:rsidRDefault="00D1266B" w:rsidP="00D1266B">
            <w:pPr>
              <w:spacing w:line="500" w:lineRule="exact"/>
              <w:jc w:val="center"/>
              <w:rPr>
                <w:rFonts w:ascii="微軟正黑體" w:eastAsia="微軟正黑體" w:hAnsi="微軟正黑體"/>
              </w:rPr>
            </w:pPr>
            <w:r w:rsidRPr="00AB26E6">
              <w:rPr>
                <w:rFonts w:ascii="微軟正黑體" w:eastAsia="微軟正黑體" w:hAnsi="微軟正黑體" w:cs="Times New Roman" w:hint="eastAsia"/>
                <w:color w:val="000000"/>
                <w:sz w:val="26"/>
                <w:szCs w:val="26"/>
              </w:rPr>
              <w:t>內部人股權宣導說明會</w:t>
            </w:r>
          </w:p>
        </w:tc>
        <w:tc>
          <w:tcPr>
            <w:tcW w:w="2414" w:type="dxa"/>
            <w:vAlign w:val="center"/>
          </w:tcPr>
          <w:p w:rsidR="00D1266B" w:rsidRPr="00AB26E6" w:rsidRDefault="00D1266B" w:rsidP="00D1266B">
            <w:pPr>
              <w:spacing w:line="300" w:lineRule="exact"/>
              <w:jc w:val="center"/>
              <w:rPr>
                <w:rFonts w:ascii="微軟正黑體" w:eastAsia="微軟正黑體" w:hAnsi="微軟正黑體"/>
                <w:color w:val="000000"/>
                <w:sz w:val="26"/>
                <w:szCs w:val="26"/>
              </w:rPr>
            </w:pPr>
            <w:r w:rsidRPr="00AB26E6">
              <w:rPr>
                <w:rFonts w:ascii="微軟正黑體" w:eastAsia="微軟正黑體" w:hAnsi="微軟正黑體" w:hint="eastAsia"/>
                <w:color w:val="000000"/>
                <w:sz w:val="26"/>
                <w:szCs w:val="26"/>
              </w:rPr>
              <w:t>證券櫃檯買賣中心</w:t>
            </w:r>
          </w:p>
        </w:tc>
        <w:tc>
          <w:tcPr>
            <w:tcW w:w="1987"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董事</w:t>
            </w:r>
          </w:p>
        </w:tc>
        <w:tc>
          <w:tcPr>
            <w:tcW w:w="2555" w:type="dxa"/>
            <w:vAlign w:val="center"/>
          </w:tcPr>
          <w:p w:rsidR="00D1266B" w:rsidRPr="009A5386" w:rsidRDefault="00D1266B" w:rsidP="00D1266B">
            <w:pPr>
              <w:spacing w:line="300" w:lineRule="exact"/>
              <w:jc w:val="center"/>
              <w:rPr>
                <w:rFonts w:ascii="微軟正黑體" w:eastAsia="微軟正黑體" w:hAnsi="微軟正黑體"/>
                <w:sz w:val="26"/>
                <w:szCs w:val="26"/>
              </w:rPr>
            </w:pPr>
            <w:r w:rsidRPr="009A5386">
              <w:rPr>
                <w:rFonts w:ascii="微軟正黑體" w:eastAsia="微軟正黑體" w:hAnsi="微軟正黑體" w:cs="Times New Roman" w:hint="eastAsia"/>
                <w:color w:val="000000" w:themeColor="text1"/>
                <w:sz w:val="26"/>
                <w:szCs w:val="26"/>
              </w:rPr>
              <w:t>11</w:t>
            </w:r>
            <w:r w:rsidRPr="009A5386">
              <w:rPr>
                <w:rFonts w:ascii="微軟正黑體" w:eastAsia="微軟正黑體" w:hAnsi="微軟正黑體" w:cs="Times New Roman"/>
                <w:color w:val="000000" w:themeColor="text1"/>
                <w:sz w:val="26"/>
                <w:szCs w:val="26"/>
              </w:rPr>
              <w:t>1/08/25</w:t>
            </w:r>
          </w:p>
        </w:tc>
        <w:tc>
          <w:tcPr>
            <w:tcW w:w="1635"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sz w:val="26"/>
                <w:szCs w:val="26"/>
              </w:rPr>
              <w:t>3</w:t>
            </w:r>
          </w:p>
        </w:tc>
        <w:tc>
          <w:tcPr>
            <w:tcW w:w="1609"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1</w:t>
            </w:r>
          </w:p>
        </w:tc>
      </w:tr>
      <w:tr w:rsidR="00D1266B" w:rsidTr="00045B33">
        <w:trPr>
          <w:trHeight w:val="1077"/>
          <w:jc w:val="center"/>
        </w:trPr>
        <w:tc>
          <w:tcPr>
            <w:tcW w:w="4390" w:type="dxa"/>
            <w:vAlign w:val="center"/>
          </w:tcPr>
          <w:p w:rsidR="00D1266B" w:rsidRPr="009A5386" w:rsidRDefault="00D1266B" w:rsidP="00D1266B">
            <w:pPr>
              <w:spacing w:line="400" w:lineRule="exact"/>
              <w:jc w:val="center"/>
              <w:rPr>
                <w:rFonts w:ascii="微軟正黑體" w:eastAsia="微軟正黑體" w:hAnsi="微軟正黑體"/>
                <w:sz w:val="26"/>
                <w:szCs w:val="26"/>
              </w:rPr>
            </w:pPr>
            <w:r w:rsidRPr="009A5386">
              <w:rPr>
                <w:rFonts w:ascii="微軟正黑體" w:eastAsia="微軟正黑體" w:hAnsi="微軟正黑體" w:hint="eastAsia"/>
                <w:color w:val="000000"/>
                <w:sz w:val="26"/>
                <w:szCs w:val="26"/>
              </w:rPr>
              <w:t>111年度內部人股權交易法律遵循宣導說明會</w:t>
            </w:r>
          </w:p>
        </w:tc>
        <w:tc>
          <w:tcPr>
            <w:tcW w:w="2414" w:type="dxa"/>
            <w:vAlign w:val="center"/>
          </w:tcPr>
          <w:p w:rsidR="00D1266B" w:rsidRPr="009A5386" w:rsidRDefault="00D1266B" w:rsidP="00D1266B">
            <w:pPr>
              <w:spacing w:line="300" w:lineRule="exact"/>
              <w:jc w:val="center"/>
              <w:rPr>
                <w:rFonts w:ascii="微軟正黑體" w:eastAsia="微軟正黑體" w:hAnsi="微軟正黑體"/>
                <w:sz w:val="26"/>
                <w:szCs w:val="26"/>
              </w:rPr>
            </w:pPr>
            <w:r w:rsidRPr="009A5386">
              <w:rPr>
                <w:rFonts w:ascii="微軟正黑體" w:eastAsia="微軟正黑體" w:hAnsi="微軟正黑體" w:hint="eastAsia"/>
                <w:sz w:val="26"/>
                <w:szCs w:val="26"/>
              </w:rPr>
              <w:t>財團法人中華民國證券暨期貨市場發展基會</w:t>
            </w:r>
          </w:p>
        </w:tc>
        <w:tc>
          <w:tcPr>
            <w:tcW w:w="1987" w:type="dxa"/>
            <w:vAlign w:val="center"/>
          </w:tcPr>
          <w:p w:rsidR="00D1266B" w:rsidRPr="009A5386" w:rsidRDefault="00D1266B" w:rsidP="00D1266B">
            <w:pPr>
              <w:spacing w:line="300" w:lineRule="exact"/>
              <w:jc w:val="center"/>
              <w:rPr>
                <w:rFonts w:ascii="微軟正黑體" w:eastAsia="微軟正黑體" w:hAnsi="微軟正黑體"/>
                <w:sz w:val="26"/>
                <w:szCs w:val="26"/>
              </w:rPr>
            </w:pPr>
            <w:r w:rsidRPr="009A5386">
              <w:rPr>
                <w:rFonts w:ascii="微軟正黑體" w:eastAsia="微軟正黑體" w:hAnsi="微軟正黑體" w:hint="eastAsia"/>
                <w:sz w:val="26"/>
                <w:szCs w:val="26"/>
              </w:rPr>
              <w:t>董事</w:t>
            </w:r>
          </w:p>
        </w:tc>
        <w:tc>
          <w:tcPr>
            <w:tcW w:w="2555" w:type="dxa"/>
            <w:vAlign w:val="center"/>
          </w:tcPr>
          <w:p w:rsidR="00D1266B" w:rsidRPr="00DE3293"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sz w:val="26"/>
                <w:szCs w:val="26"/>
              </w:rPr>
              <w:t>111/10/12</w:t>
            </w:r>
          </w:p>
        </w:tc>
        <w:tc>
          <w:tcPr>
            <w:tcW w:w="1635" w:type="dxa"/>
            <w:vAlign w:val="center"/>
          </w:tcPr>
          <w:p w:rsidR="00D1266B" w:rsidRPr="00DE3293"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3</w:t>
            </w:r>
          </w:p>
        </w:tc>
        <w:tc>
          <w:tcPr>
            <w:tcW w:w="1609" w:type="dxa"/>
            <w:vAlign w:val="center"/>
          </w:tcPr>
          <w:p w:rsidR="00D1266B" w:rsidRPr="00DE3293"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1</w:t>
            </w:r>
          </w:p>
        </w:tc>
      </w:tr>
      <w:tr w:rsidR="00D1266B" w:rsidTr="009A5386">
        <w:trPr>
          <w:trHeight w:val="716"/>
          <w:jc w:val="center"/>
        </w:trPr>
        <w:tc>
          <w:tcPr>
            <w:tcW w:w="4390" w:type="dxa"/>
            <w:vAlign w:val="center"/>
          </w:tcPr>
          <w:p w:rsidR="00D1266B" w:rsidRDefault="00D1266B" w:rsidP="00D1266B">
            <w:pPr>
              <w:spacing w:line="500" w:lineRule="exact"/>
              <w:jc w:val="center"/>
              <w:rPr>
                <w:rFonts w:ascii="微軟正黑體" w:eastAsia="微軟正黑體" w:hAnsi="微軟正黑體"/>
              </w:rPr>
            </w:pPr>
            <w:r>
              <w:rPr>
                <w:rFonts w:ascii="微軟正黑體" w:eastAsia="微軟正黑體" w:hAnsi="微軟正黑體" w:hint="eastAsia"/>
              </w:rPr>
              <w:t>轉發內部人持股變動申報違反證券交易法之常見態樣</w:t>
            </w:r>
          </w:p>
        </w:tc>
        <w:tc>
          <w:tcPr>
            <w:tcW w:w="2414"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本公司</w:t>
            </w:r>
          </w:p>
        </w:tc>
        <w:tc>
          <w:tcPr>
            <w:tcW w:w="1987"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董事及經理人</w:t>
            </w:r>
          </w:p>
        </w:tc>
        <w:tc>
          <w:tcPr>
            <w:tcW w:w="2555"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不定期</w:t>
            </w:r>
          </w:p>
        </w:tc>
        <w:tc>
          <w:tcPr>
            <w:tcW w:w="1635"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ＮＡ</w:t>
            </w:r>
          </w:p>
        </w:tc>
        <w:tc>
          <w:tcPr>
            <w:tcW w:w="1609" w:type="dxa"/>
            <w:vAlign w:val="center"/>
          </w:tcPr>
          <w:p w:rsidR="00D1266B" w:rsidRDefault="00D1266B" w:rsidP="00D1266B">
            <w:pPr>
              <w:spacing w:line="300" w:lineRule="exact"/>
              <w:jc w:val="center"/>
              <w:rPr>
                <w:rFonts w:ascii="微軟正黑體" w:eastAsia="微軟正黑體" w:hAnsi="微軟正黑體"/>
                <w:sz w:val="26"/>
                <w:szCs w:val="26"/>
              </w:rPr>
            </w:pPr>
            <w:r>
              <w:rPr>
                <w:rFonts w:ascii="微軟正黑體" w:eastAsia="微軟正黑體" w:hAnsi="微軟正黑體" w:hint="eastAsia"/>
                <w:sz w:val="26"/>
                <w:szCs w:val="26"/>
              </w:rPr>
              <w:t>20</w:t>
            </w:r>
          </w:p>
        </w:tc>
      </w:tr>
    </w:tbl>
    <w:p w:rsidR="001D5CF1" w:rsidRPr="001D5CF1" w:rsidRDefault="001D5CF1" w:rsidP="001D5CF1">
      <w:pPr>
        <w:jc w:val="center"/>
        <w:rPr>
          <w:rFonts w:ascii="微軟正黑體" w:eastAsia="微軟正黑體" w:hAnsi="微軟正黑體"/>
          <w:sz w:val="40"/>
          <w:szCs w:val="40"/>
        </w:rPr>
      </w:pPr>
    </w:p>
    <w:sectPr w:rsidR="001D5CF1" w:rsidRPr="001D5CF1" w:rsidSect="001D5CF1">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86" w:rsidRDefault="009A5386" w:rsidP="009A5386">
      <w:r>
        <w:separator/>
      </w:r>
    </w:p>
  </w:endnote>
  <w:endnote w:type="continuationSeparator" w:id="0">
    <w:p w:rsidR="009A5386" w:rsidRDefault="009A5386" w:rsidP="009A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86" w:rsidRDefault="009A5386" w:rsidP="009A5386">
      <w:r>
        <w:separator/>
      </w:r>
    </w:p>
  </w:footnote>
  <w:footnote w:type="continuationSeparator" w:id="0">
    <w:p w:rsidR="009A5386" w:rsidRDefault="009A5386" w:rsidP="009A5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F1"/>
    <w:rsid w:val="00045B33"/>
    <w:rsid w:val="00081EDD"/>
    <w:rsid w:val="00143E7C"/>
    <w:rsid w:val="001D5CF1"/>
    <w:rsid w:val="004F351D"/>
    <w:rsid w:val="00623AC3"/>
    <w:rsid w:val="009A5386"/>
    <w:rsid w:val="00AB26E6"/>
    <w:rsid w:val="00B06026"/>
    <w:rsid w:val="00C1206E"/>
    <w:rsid w:val="00D1266B"/>
    <w:rsid w:val="00DE3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E1E95"/>
  <w15:chartTrackingRefBased/>
  <w15:docId w15:val="{36094E73-AD59-4090-8824-69397DE8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5386"/>
    <w:pPr>
      <w:tabs>
        <w:tab w:val="center" w:pos="4153"/>
        <w:tab w:val="right" w:pos="8306"/>
      </w:tabs>
      <w:snapToGrid w:val="0"/>
    </w:pPr>
    <w:rPr>
      <w:sz w:val="20"/>
      <w:szCs w:val="20"/>
    </w:rPr>
  </w:style>
  <w:style w:type="character" w:customStyle="1" w:styleId="a5">
    <w:name w:val="頁首 字元"/>
    <w:basedOn w:val="a0"/>
    <w:link w:val="a4"/>
    <w:uiPriority w:val="99"/>
    <w:rsid w:val="009A5386"/>
    <w:rPr>
      <w:sz w:val="20"/>
      <w:szCs w:val="20"/>
    </w:rPr>
  </w:style>
  <w:style w:type="paragraph" w:styleId="a6">
    <w:name w:val="footer"/>
    <w:basedOn w:val="a"/>
    <w:link w:val="a7"/>
    <w:uiPriority w:val="99"/>
    <w:unhideWhenUsed/>
    <w:rsid w:val="009A5386"/>
    <w:pPr>
      <w:tabs>
        <w:tab w:val="center" w:pos="4153"/>
        <w:tab w:val="right" w:pos="8306"/>
      </w:tabs>
      <w:snapToGrid w:val="0"/>
    </w:pPr>
    <w:rPr>
      <w:sz w:val="20"/>
      <w:szCs w:val="20"/>
    </w:rPr>
  </w:style>
  <w:style w:type="character" w:customStyle="1" w:styleId="a7">
    <w:name w:val="頁尾 字元"/>
    <w:basedOn w:val="a0"/>
    <w:link w:val="a6"/>
    <w:uiPriority w:val="99"/>
    <w:rsid w:val="009A53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JUI(蔣瑞娥)</dc:creator>
  <cp:keywords/>
  <dc:description/>
  <cp:lastModifiedBy>JUI(蔣瑞娥)</cp:lastModifiedBy>
  <cp:revision>2</cp:revision>
  <dcterms:created xsi:type="dcterms:W3CDTF">2023-03-08T09:29:00Z</dcterms:created>
  <dcterms:modified xsi:type="dcterms:W3CDTF">2023-03-08T09:29:00Z</dcterms:modified>
</cp:coreProperties>
</file>